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宋体" w:hAnsi="宋体" w:eastAsia="宋体"/>
          <w:sz w:val="28"/>
          <w:szCs w:val="28"/>
          <w:lang w:val="en-US" w:eastAsia="zh-CN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 xml:space="preserve">附件3： 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/>
          <w:b/>
          <w:bCs/>
          <w:sz w:val="44"/>
          <w:szCs w:val="44"/>
          <w:lang w:val="en-US" w:eastAsia="zh-CN"/>
        </w:rPr>
      </w:pPr>
      <w:bookmarkStart w:id="0" w:name="_GoBack"/>
      <w:r>
        <w:rPr>
          <w:rFonts w:hint="eastAsia"/>
          <w:b/>
          <w:bCs/>
          <w:sz w:val="44"/>
          <w:szCs w:val="44"/>
          <w:lang w:val="en-US" w:eastAsia="zh-CN"/>
        </w:rPr>
        <w:t>复赛人员回执单</w:t>
      </w:r>
    </w:p>
    <w:bookmarkEnd w:id="0"/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/>
          <w:b/>
          <w:bCs/>
          <w:sz w:val="36"/>
          <w:szCs w:val="36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default"/>
          <w:b/>
          <w:bCs/>
          <w:sz w:val="28"/>
          <w:szCs w:val="28"/>
          <w:u w:val="single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系院盖章：</w:t>
      </w:r>
      <w:r>
        <w:rPr>
          <w:rFonts w:hint="eastAsia"/>
          <w:b/>
          <w:bCs/>
          <w:sz w:val="28"/>
          <w:szCs w:val="28"/>
          <w:u w:val="single"/>
          <w:lang w:val="en-US" w:eastAsia="zh-CN"/>
        </w:rPr>
        <w:t xml:space="preserve">             </w:t>
      </w:r>
    </w:p>
    <w:tbl>
      <w:tblPr>
        <w:tblStyle w:val="3"/>
        <w:tblW w:w="9171" w:type="dxa"/>
        <w:tblInd w:w="-29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76"/>
        <w:gridCol w:w="2055"/>
        <w:gridCol w:w="2220"/>
        <w:gridCol w:w="22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exact"/>
        </w:trPr>
        <w:tc>
          <w:tcPr>
            <w:tcW w:w="267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b/>
                <w:bCs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36"/>
                <w:szCs w:val="36"/>
                <w:vertAlign w:val="baseline"/>
                <w:lang w:val="en-US" w:eastAsia="zh-CN"/>
              </w:rPr>
              <w:t>系院（组织）</w:t>
            </w:r>
          </w:p>
        </w:tc>
        <w:tc>
          <w:tcPr>
            <w:tcW w:w="20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b/>
                <w:bCs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36"/>
                <w:szCs w:val="36"/>
                <w:vertAlign w:val="baseline"/>
                <w:lang w:val="en-US" w:eastAsia="zh-CN"/>
              </w:rPr>
              <w:t>姓名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b/>
                <w:bCs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36"/>
                <w:szCs w:val="36"/>
                <w:vertAlign w:val="baseline"/>
                <w:lang w:val="en-US" w:eastAsia="zh-CN"/>
              </w:rPr>
              <w:t>班级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b/>
                <w:bCs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36"/>
                <w:szCs w:val="36"/>
                <w:vertAlign w:val="baseline"/>
                <w:lang w:val="en-US" w:eastAsia="zh-CN"/>
              </w:rPr>
              <w:t>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exact"/>
        </w:trPr>
        <w:tc>
          <w:tcPr>
            <w:tcW w:w="2676" w:type="dxa"/>
            <w:vMerge w:val="restar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default"/>
                <w:b/>
                <w:bCs/>
                <w:sz w:val="52"/>
                <w:szCs w:val="52"/>
                <w:vertAlign w:val="baseline"/>
                <w:lang w:val="en-US" w:eastAsia="zh-CN"/>
              </w:rPr>
            </w:pPr>
          </w:p>
        </w:tc>
        <w:tc>
          <w:tcPr>
            <w:tcW w:w="205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default"/>
                <w:b/>
                <w:bCs/>
                <w:sz w:val="52"/>
                <w:szCs w:val="52"/>
                <w:vertAlign w:val="baseline"/>
                <w:lang w:val="en-US" w:eastAsia="zh-CN"/>
              </w:rPr>
            </w:pPr>
          </w:p>
        </w:tc>
        <w:tc>
          <w:tcPr>
            <w:tcW w:w="222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default"/>
                <w:b/>
                <w:bCs/>
                <w:sz w:val="52"/>
                <w:szCs w:val="52"/>
                <w:vertAlign w:val="baseline"/>
                <w:lang w:val="en-US" w:eastAsia="zh-CN"/>
              </w:rPr>
            </w:pPr>
          </w:p>
        </w:tc>
        <w:tc>
          <w:tcPr>
            <w:tcW w:w="222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default"/>
                <w:b/>
                <w:bCs/>
                <w:sz w:val="52"/>
                <w:szCs w:val="5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exact"/>
        </w:trPr>
        <w:tc>
          <w:tcPr>
            <w:tcW w:w="2676" w:type="dxa"/>
            <w:vMerge w:val="continue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b/>
                <w:bCs/>
                <w:sz w:val="52"/>
                <w:szCs w:val="52"/>
                <w:vertAlign w:val="baseline"/>
                <w:lang w:val="en-US" w:eastAsia="zh-CN"/>
              </w:rPr>
            </w:pPr>
          </w:p>
        </w:tc>
        <w:tc>
          <w:tcPr>
            <w:tcW w:w="205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default"/>
                <w:b/>
                <w:bCs/>
                <w:sz w:val="52"/>
                <w:szCs w:val="52"/>
                <w:vertAlign w:val="baseline"/>
                <w:lang w:val="en-US" w:eastAsia="zh-CN"/>
              </w:rPr>
            </w:pPr>
          </w:p>
        </w:tc>
        <w:tc>
          <w:tcPr>
            <w:tcW w:w="222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default"/>
                <w:b/>
                <w:bCs/>
                <w:sz w:val="52"/>
                <w:szCs w:val="52"/>
                <w:vertAlign w:val="baseline"/>
                <w:lang w:val="en-US" w:eastAsia="zh-CN"/>
              </w:rPr>
            </w:pPr>
          </w:p>
        </w:tc>
        <w:tc>
          <w:tcPr>
            <w:tcW w:w="222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default"/>
                <w:b/>
                <w:bCs/>
                <w:sz w:val="52"/>
                <w:szCs w:val="5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exact"/>
        </w:trPr>
        <w:tc>
          <w:tcPr>
            <w:tcW w:w="2676" w:type="dxa"/>
            <w:vMerge w:val="continue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default"/>
                <w:b/>
                <w:bCs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205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default"/>
                <w:b/>
                <w:bCs/>
                <w:sz w:val="52"/>
                <w:szCs w:val="52"/>
                <w:vertAlign w:val="baseline"/>
                <w:lang w:val="en-US" w:eastAsia="zh-CN"/>
              </w:rPr>
            </w:pPr>
          </w:p>
        </w:tc>
        <w:tc>
          <w:tcPr>
            <w:tcW w:w="222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default"/>
                <w:b/>
                <w:bCs/>
                <w:sz w:val="52"/>
                <w:szCs w:val="52"/>
                <w:vertAlign w:val="baseline"/>
                <w:lang w:val="en-US" w:eastAsia="zh-CN"/>
              </w:rPr>
            </w:pPr>
          </w:p>
        </w:tc>
        <w:tc>
          <w:tcPr>
            <w:tcW w:w="222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default"/>
                <w:b/>
                <w:bCs/>
                <w:sz w:val="52"/>
                <w:szCs w:val="5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exact"/>
        </w:trPr>
        <w:tc>
          <w:tcPr>
            <w:tcW w:w="2676" w:type="dxa"/>
            <w:vMerge w:val="continue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default"/>
                <w:b/>
                <w:bCs/>
                <w:sz w:val="52"/>
                <w:szCs w:val="52"/>
                <w:vertAlign w:val="baseline"/>
                <w:lang w:val="en-US" w:eastAsia="zh-CN"/>
              </w:rPr>
            </w:pPr>
          </w:p>
        </w:tc>
        <w:tc>
          <w:tcPr>
            <w:tcW w:w="205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default"/>
                <w:b/>
                <w:bCs/>
                <w:sz w:val="52"/>
                <w:szCs w:val="52"/>
                <w:vertAlign w:val="baseline"/>
                <w:lang w:val="en-US" w:eastAsia="zh-CN"/>
              </w:rPr>
            </w:pPr>
          </w:p>
        </w:tc>
        <w:tc>
          <w:tcPr>
            <w:tcW w:w="222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default"/>
                <w:b/>
                <w:bCs/>
                <w:sz w:val="52"/>
                <w:szCs w:val="52"/>
                <w:vertAlign w:val="baseline"/>
                <w:lang w:val="en-US" w:eastAsia="zh-CN"/>
              </w:rPr>
            </w:pPr>
          </w:p>
        </w:tc>
        <w:tc>
          <w:tcPr>
            <w:tcW w:w="222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default"/>
                <w:b/>
                <w:bCs/>
                <w:sz w:val="52"/>
                <w:szCs w:val="5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exact"/>
        </w:trPr>
        <w:tc>
          <w:tcPr>
            <w:tcW w:w="2676" w:type="dxa"/>
            <w:vMerge w:val="continue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default"/>
                <w:b/>
                <w:bCs/>
                <w:sz w:val="52"/>
                <w:szCs w:val="52"/>
                <w:vertAlign w:val="baseline"/>
                <w:lang w:val="en-US" w:eastAsia="zh-CN"/>
              </w:rPr>
            </w:pPr>
          </w:p>
        </w:tc>
        <w:tc>
          <w:tcPr>
            <w:tcW w:w="205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default"/>
                <w:b/>
                <w:bCs/>
                <w:sz w:val="52"/>
                <w:szCs w:val="52"/>
                <w:vertAlign w:val="baseline"/>
                <w:lang w:val="en-US" w:eastAsia="zh-CN"/>
              </w:rPr>
            </w:pPr>
          </w:p>
        </w:tc>
        <w:tc>
          <w:tcPr>
            <w:tcW w:w="222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default"/>
                <w:b/>
                <w:bCs/>
                <w:sz w:val="52"/>
                <w:szCs w:val="52"/>
                <w:vertAlign w:val="baseline"/>
                <w:lang w:val="en-US" w:eastAsia="zh-CN"/>
              </w:rPr>
            </w:pPr>
          </w:p>
        </w:tc>
        <w:tc>
          <w:tcPr>
            <w:tcW w:w="222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default"/>
                <w:b/>
                <w:bCs/>
                <w:sz w:val="52"/>
                <w:szCs w:val="52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注：1.盖章后于11月13日前送至主楼1301室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jc w:val="left"/>
        <w:textAlignment w:val="auto"/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2.以pdf格式发送至邮箱526461232@qq.com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jc w:val="left"/>
        <w:textAlignment w:val="auto"/>
        <w:rPr>
          <w:rFonts w:hint="default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3.联系人：蒋苏博17663233538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02654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宋体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至此终年</cp:lastModifiedBy>
  <dcterms:modified xsi:type="dcterms:W3CDTF">2019-11-08T06:26:59Z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